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D1" w:rsidRPr="006B2D5A" w:rsidRDefault="00484C1B" w:rsidP="00484C1B">
      <w:pPr>
        <w:spacing w:after="0" w:line="240" w:lineRule="auto"/>
        <w:rPr>
          <w:rFonts w:ascii="Times New Roman" w:hAnsi="Times New Roman" w:cs="Times New Roman"/>
          <w:b/>
        </w:rPr>
      </w:pPr>
      <w:r w:rsidRPr="006B2D5A">
        <w:rPr>
          <w:rFonts w:ascii="Times New Roman" w:hAnsi="Times New Roman" w:cs="Times New Roman"/>
          <w:b/>
        </w:rPr>
        <w:t xml:space="preserve">СОГЛАСОВАНО:                                                                                               </w:t>
      </w:r>
      <w:r w:rsidR="006B2D5A">
        <w:rPr>
          <w:rFonts w:ascii="Times New Roman" w:hAnsi="Times New Roman" w:cs="Times New Roman"/>
          <w:b/>
        </w:rPr>
        <w:t xml:space="preserve">                 </w:t>
      </w:r>
      <w:r w:rsidRPr="006B2D5A">
        <w:rPr>
          <w:rFonts w:ascii="Times New Roman" w:hAnsi="Times New Roman" w:cs="Times New Roman"/>
          <w:b/>
        </w:rPr>
        <w:t xml:space="preserve"> УТВЕРЖДАЮ:</w:t>
      </w:r>
    </w:p>
    <w:p w:rsidR="00484C1B" w:rsidRPr="006B2D5A" w:rsidRDefault="00484C1B" w:rsidP="00484C1B">
      <w:pPr>
        <w:spacing w:after="0" w:line="240" w:lineRule="auto"/>
        <w:rPr>
          <w:rFonts w:ascii="Times New Roman" w:hAnsi="Times New Roman" w:cs="Times New Roman"/>
          <w:b/>
        </w:rPr>
      </w:pPr>
      <w:r w:rsidRPr="006B2D5A">
        <w:rPr>
          <w:rFonts w:ascii="Times New Roman" w:hAnsi="Times New Roman" w:cs="Times New Roman"/>
          <w:b/>
        </w:rPr>
        <w:t xml:space="preserve">Председатель  профкома                                                                                 </w:t>
      </w:r>
      <w:r w:rsidR="006B2D5A">
        <w:rPr>
          <w:rFonts w:ascii="Times New Roman" w:hAnsi="Times New Roman" w:cs="Times New Roman"/>
          <w:b/>
        </w:rPr>
        <w:t xml:space="preserve">                </w:t>
      </w:r>
      <w:r w:rsidRPr="006B2D5A">
        <w:rPr>
          <w:rFonts w:ascii="Times New Roman" w:hAnsi="Times New Roman" w:cs="Times New Roman"/>
          <w:b/>
        </w:rPr>
        <w:t xml:space="preserve">    Директор</w:t>
      </w:r>
    </w:p>
    <w:p w:rsidR="00484C1B" w:rsidRPr="006B2D5A" w:rsidRDefault="00484C1B" w:rsidP="00484C1B">
      <w:pPr>
        <w:spacing w:after="0" w:line="240" w:lineRule="auto"/>
        <w:rPr>
          <w:rFonts w:ascii="Times New Roman" w:hAnsi="Times New Roman" w:cs="Times New Roman"/>
          <w:b/>
        </w:rPr>
      </w:pPr>
      <w:r w:rsidRPr="006B2D5A">
        <w:rPr>
          <w:rFonts w:ascii="Times New Roman" w:hAnsi="Times New Roman" w:cs="Times New Roman"/>
          <w:b/>
        </w:rPr>
        <w:t xml:space="preserve">МКУ  ДО  «ЦТТ»                                                                                                  </w:t>
      </w:r>
      <w:r w:rsidR="006B2D5A">
        <w:rPr>
          <w:rFonts w:ascii="Times New Roman" w:hAnsi="Times New Roman" w:cs="Times New Roman"/>
          <w:b/>
        </w:rPr>
        <w:t xml:space="preserve">               </w:t>
      </w:r>
      <w:r w:rsidRPr="006B2D5A">
        <w:rPr>
          <w:rFonts w:ascii="Times New Roman" w:hAnsi="Times New Roman" w:cs="Times New Roman"/>
          <w:b/>
        </w:rPr>
        <w:t>МКУ  ДО  «ЦТТ»</w:t>
      </w:r>
    </w:p>
    <w:p w:rsidR="00484C1B" w:rsidRPr="006B2D5A" w:rsidRDefault="00484C1B" w:rsidP="00484C1B">
      <w:pPr>
        <w:spacing w:after="0" w:line="240" w:lineRule="auto"/>
        <w:rPr>
          <w:rFonts w:ascii="Times New Roman" w:hAnsi="Times New Roman" w:cs="Times New Roman"/>
          <w:b/>
        </w:rPr>
      </w:pPr>
      <w:r w:rsidRPr="006B2D5A">
        <w:rPr>
          <w:rFonts w:ascii="Times New Roman" w:hAnsi="Times New Roman" w:cs="Times New Roman"/>
          <w:b/>
        </w:rPr>
        <w:t xml:space="preserve">_________  </w:t>
      </w:r>
      <w:proofErr w:type="spellStart"/>
      <w:r w:rsidRPr="006B2D5A">
        <w:rPr>
          <w:rFonts w:ascii="Times New Roman" w:hAnsi="Times New Roman" w:cs="Times New Roman"/>
          <w:b/>
        </w:rPr>
        <w:t>Атаева</w:t>
      </w:r>
      <w:proofErr w:type="spellEnd"/>
      <w:r w:rsidRPr="006B2D5A">
        <w:rPr>
          <w:rFonts w:ascii="Times New Roman" w:hAnsi="Times New Roman" w:cs="Times New Roman"/>
          <w:b/>
        </w:rPr>
        <w:t xml:space="preserve">  А. А.                                                                                   </w:t>
      </w:r>
      <w:r w:rsidR="006B2D5A">
        <w:rPr>
          <w:rFonts w:ascii="Times New Roman" w:hAnsi="Times New Roman" w:cs="Times New Roman"/>
          <w:b/>
        </w:rPr>
        <w:t xml:space="preserve">               </w:t>
      </w:r>
      <w:r w:rsidRPr="006B2D5A">
        <w:rPr>
          <w:rFonts w:ascii="Times New Roman" w:hAnsi="Times New Roman" w:cs="Times New Roman"/>
          <w:b/>
        </w:rPr>
        <w:t xml:space="preserve">  ________ </w:t>
      </w:r>
      <w:proofErr w:type="spellStart"/>
      <w:r w:rsidRPr="006B2D5A">
        <w:rPr>
          <w:rFonts w:ascii="Times New Roman" w:hAnsi="Times New Roman" w:cs="Times New Roman"/>
          <w:b/>
        </w:rPr>
        <w:t>Шуаибова</w:t>
      </w:r>
      <w:proofErr w:type="spellEnd"/>
      <w:r w:rsidRPr="006B2D5A">
        <w:rPr>
          <w:rFonts w:ascii="Times New Roman" w:hAnsi="Times New Roman" w:cs="Times New Roman"/>
          <w:b/>
        </w:rPr>
        <w:t xml:space="preserve">  М. А.</w:t>
      </w:r>
    </w:p>
    <w:p w:rsidR="00484C1B" w:rsidRPr="006B2D5A" w:rsidRDefault="00484C1B" w:rsidP="00484C1B">
      <w:pPr>
        <w:spacing w:after="0" w:line="240" w:lineRule="auto"/>
        <w:rPr>
          <w:rFonts w:ascii="Times New Roman" w:hAnsi="Times New Roman" w:cs="Times New Roman"/>
          <w:b/>
        </w:rPr>
      </w:pPr>
      <w:r w:rsidRPr="006B2D5A">
        <w:rPr>
          <w:rFonts w:ascii="Times New Roman" w:hAnsi="Times New Roman" w:cs="Times New Roman"/>
          <w:b/>
        </w:rPr>
        <w:t xml:space="preserve">«___»  _________ 20___ г.                                                                               </w:t>
      </w:r>
      <w:r w:rsidR="006B2D5A">
        <w:rPr>
          <w:rFonts w:ascii="Times New Roman" w:hAnsi="Times New Roman" w:cs="Times New Roman"/>
          <w:b/>
        </w:rPr>
        <w:t xml:space="preserve">               </w:t>
      </w:r>
      <w:r w:rsidRPr="006B2D5A">
        <w:rPr>
          <w:rFonts w:ascii="Times New Roman" w:hAnsi="Times New Roman" w:cs="Times New Roman"/>
          <w:b/>
        </w:rPr>
        <w:t xml:space="preserve">     «___»  _________ 20___ г.</w:t>
      </w:r>
    </w:p>
    <w:p w:rsidR="00484C1B" w:rsidRPr="006B2D5A" w:rsidRDefault="00484C1B" w:rsidP="00484C1B">
      <w:pPr>
        <w:spacing w:after="0"/>
        <w:jc w:val="center"/>
        <w:rPr>
          <w:rFonts w:ascii="Times New Roman" w:hAnsi="Times New Roman" w:cs="Times New Roman"/>
          <w:b/>
        </w:rPr>
      </w:pPr>
    </w:p>
    <w:p w:rsidR="00484C1B" w:rsidRPr="006B2D5A" w:rsidRDefault="00484C1B" w:rsidP="00484C1B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>Рассмотрено и принято на общем</w:t>
      </w:r>
    </w:p>
    <w:p w:rsidR="00484C1B" w:rsidRPr="006B2D5A" w:rsidRDefault="00484C1B" w:rsidP="00484C1B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proofErr w:type="gramStart"/>
      <w:r w:rsidRPr="006B2D5A">
        <w:rPr>
          <w:color w:val="000000"/>
          <w:sz w:val="20"/>
          <w:szCs w:val="20"/>
        </w:rPr>
        <w:t>собрании</w:t>
      </w:r>
      <w:proofErr w:type="gramEnd"/>
      <w:r w:rsidRPr="006B2D5A">
        <w:rPr>
          <w:color w:val="000000"/>
          <w:sz w:val="20"/>
          <w:szCs w:val="20"/>
        </w:rPr>
        <w:t xml:space="preserve"> трудового коллектива</w:t>
      </w:r>
    </w:p>
    <w:p w:rsidR="00484C1B" w:rsidRPr="006B2D5A" w:rsidRDefault="00484C1B" w:rsidP="00484C1B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>протокол №  1 от  02.11.2015 г.</w:t>
      </w:r>
    </w:p>
    <w:p w:rsidR="00484C1B" w:rsidRPr="006B2D5A" w:rsidRDefault="00484C1B" w:rsidP="00484C1B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>Внесены  изменения:</w:t>
      </w:r>
    </w:p>
    <w:p w:rsidR="00484C1B" w:rsidRPr="006B2D5A" w:rsidRDefault="00484C1B" w:rsidP="006B2D5A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>общим  собранием</w:t>
      </w:r>
    </w:p>
    <w:p w:rsidR="00484C1B" w:rsidRPr="006B2D5A" w:rsidRDefault="00484C1B" w:rsidP="00484C1B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B2D5A">
        <w:rPr>
          <w:color w:val="000000"/>
          <w:sz w:val="20"/>
          <w:szCs w:val="20"/>
        </w:rPr>
        <w:t xml:space="preserve">                             </w:t>
      </w:r>
      <w:r w:rsidRPr="006B2D5A">
        <w:rPr>
          <w:color w:val="000000"/>
          <w:sz w:val="20"/>
          <w:szCs w:val="20"/>
        </w:rPr>
        <w:t xml:space="preserve"> трудового коллектива</w:t>
      </w:r>
    </w:p>
    <w:p w:rsidR="00484C1B" w:rsidRPr="006B2D5A" w:rsidRDefault="00484C1B" w:rsidP="00484C1B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B2D5A">
        <w:rPr>
          <w:color w:val="000000"/>
          <w:sz w:val="20"/>
          <w:szCs w:val="20"/>
        </w:rPr>
        <w:t xml:space="preserve">                                </w:t>
      </w:r>
      <w:r w:rsidRPr="006B2D5A">
        <w:rPr>
          <w:color w:val="000000"/>
          <w:sz w:val="20"/>
          <w:szCs w:val="20"/>
        </w:rPr>
        <w:t xml:space="preserve"> протокол №</w:t>
      </w:r>
      <w:r w:rsidR="00DC7302" w:rsidRPr="006B2D5A">
        <w:rPr>
          <w:color w:val="000000"/>
          <w:sz w:val="20"/>
          <w:szCs w:val="20"/>
        </w:rPr>
        <w:t xml:space="preserve"> </w:t>
      </w:r>
      <w:r w:rsidRPr="006B2D5A">
        <w:rPr>
          <w:color w:val="000000"/>
          <w:sz w:val="20"/>
          <w:szCs w:val="20"/>
        </w:rPr>
        <w:t>3 от 30.08.2016 г.</w:t>
      </w:r>
    </w:p>
    <w:p w:rsidR="00DC7302" w:rsidRPr="006B2D5A" w:rsidRDefault="00DC7302" w:rsidP="006B2D5A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>общим  собранием</w:t>
      </w:r>
    </w:p>
    <w:p w:rsidR="00DC7302" w:rsidRPr="006B2D5A" w:rsidRDefault="00DC7302" w:rsidP="00DC7302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6B2D5A">
        <w:rPr>
          <w:color w:val="000000"/>
          <w:sz w:val="20"/>
          <w:szCs w:val="20"/>
        </w:rPr>
        <w:t xml:space="preserve">                            </w:t>
      </w:r>
      <w:r w:rsidRPr="006B2D5A">
        <w:rPr>
          <w:color w:val="000000"/>
          <w:sz w:val="20"/>
          <w:szCs w:val="20"/>
        </w:rPr>
        <w:t xml:space="preserve"> трудового коллектива</w:t>
      </w:r>
    </w:p>
    <w:p w:rsidR="00DC7302" w:rsidRPr="006B2D5A" w:rsidRDefault="00DC7302" w:rsidP="00DC7302">
      <w:pPr>
        <w:pStyle w:val="a4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B2D5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B2D5A">
        <w:rPr>
          <w:color w:val="000000"/>
          <w:sz w:val="20"/>
          <w:szCs w:val="20"/>
        </w:rPr>
        <w:t xml:space="preserve">                                </w:t>
      </w:r>
      <w:r w:rsidRPr="006B2D5A">
        <w:rPr>
          <w:color w:val="000000"/>
          <w:sz w:val="20"/>
          <w:szCs w:val="20"/>
        </w:rPr>
        <w:t xml:space="preserve"> протокол № 6 от 20.03.2019 г.</w:t>
      </w:r>
    </w:p>
    <w:p w:rsidR="00484C1B" w:rsidRDefault="00484C1B" w:rsidP="00DC7302">
      <w:pPr>
        <w:pStyle w:val="a4"/>
        <w:spacing w:before="0" w:beforeAutospacing="0" w:after="0" w:afterAutospacing="0"/>
        <w:ind w:left="8640"/>
        <w:jc w:val="center"/>
        <w:rPr>
          <w:color w:val="000000"/>
          <w:sz w:val="20"/>
          <w:szCs w:val="20"/>
        </w:rPr>
      </w:pPr>
    </w:p>
    <w:p w:rsidR="0038016F" w:rsidRPr="006B2D5A" w:rsidRDefault="0038016F" w:rsidP="00DC7302">
      <w:pPr>
        <w:pStyle w:val="a4"/>
        <w:spacing w:before="0" w:beforeAutospacing="0" w:after="0" w:afterAutospacing="0"/>
        <w:ind w:left="8640"/>
        <w:jc w:val="center"/>
        <w:rPr>
          <w:color w:val="000000"/>
          <w:sz w:val="20"/>
          <w:szCs w:val="20"/>
        </w:rPr>
      </w:pPr>
    </w:p>
    <w:p w:rsidR="00484C1B" w:rsidRDefault="00484C1B" w:rsidP="00484C1B">
      <w:pPr>
        <w:pStyle w:val="a4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CE1EF7" w:rsidRPr="000C0A8D" w:rsidRDefault="009B3FDC" w:rsidP="00484C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84C1B" w:rsidRDefault="00484C1B" w:rsidP="00CE1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E1EF7" w:rsidRPr="000C0A8D">
        <w:rPr>
          <w:rFonts w:ascii="Times New Roman" w:hAnsi="Times New Roman" w:cs="Times New Roman"/>
          <w:b/>
          <w:sz w:val="24"/>
          <w:szCs w:val="24"/>
        </w:rPr>
        <w:t xml:space="preserve">  порядке  </w:t>
      </w:r>
      <w:proofErr w:type="gramStart"/>
      <w:r w:rsidR="00CE1EF7" w:rsidRPr="000C0A8D">
        <w:rPr>
          <w:rFonts w:ascii="Times New Roman" w:hAnsi="Times New Roman" w:cs="Times New Roman"/>
          <w:b/>
          <w:sz w:val="24"/>
          <w:szCs w:val="24"/>
        </w:rPr>
        <w:t>распределения  стимулирующей  части  фонда  оплаты  труда</w:t>
      </w:r>
      <w:proofErr w:type="gramEnd"/>
      <w:r w:rsidR="00CE1EF7" w:rsidRPr="000C0A8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1EF7" w:rsidRPr="000C0A8D" w:rsidRDefault="00CE1EF7" w:rsidP="00CE1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8D">
        <w:rPr>
          <w:rFonts w:ascii="Times New Roman" w:hAnsi="Times New Roman" w:cs="Times New Roman"/>
          <w:b/>
          <w:sz w:val="24"/>
          <w:szCs w:val="24"/>
        </w:rPr>
        <w:t xml:space="preserve">педагогических  работников МКУ  </w:t>
      </w:r>
      <w:proofErr w:type="gramStart"/>
      <w:r w:rsidRPr="000C0A8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0C0A8D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gramStart"/>
      <w:r w:rsidRPr="000C0A8D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0C0A8D">
        <w:rPr>
          <w:rFonts w:ascii="Times New Roman" w:hAnsi="Times New Roman" w:cs="Times New Roman"/>
          <w:b/>
          <w:sz w:val="24"/>
          <w:szCs w:val="24"/>
        </w:rPr>
        <w:t xml:space="preserve">  технического  творчества»</w:t>
      </w:r>
    </w:p>
    <w:p w:rsidR="00CE1EF7" w:rsidRDefault="00CE1EF7" w:rsidP="00CE1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1EF7" w:rsidRDefault="00CE1EF7" w:rsidP="00CE1EF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8D">
        <w:rPr>
          <w:rFonts w:ascii="Times New Roman" w:hAnsi="Times New Roman" w:cs="Times New Roman"/>
          <w:b/>
          <w:sz w:val="24"/>
          <w:szCs w:val="24"/>
        </w:rPr>
        <w:t xml:space="preserve"> Общие  положения</w:t>
      </w:r>
    </w:p>
    <w:p w:rsidR="009B3FDC" w:rsidRPr="000C0A8D" w:rsidRDefault="009B3FDC" w:rsidP="009B3FD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1EF7" w:rsidRDefault="00CE1EF7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 положение  (далее – Положение)  разработано  в  соответствии  с  Постановлением  Правительства  РД  от  28.10.2009 г.  ст. 144 Трудового  кодекса  </w:t>
      </w:r>
      <w:r w:rsidR="00287FE3">
        <w:rPr>
          <w:rFonts w:ascii="Times New Roman" w:hAnsi="Times New Roman" w:cs="Times New Roman"/>
          <w:sz w:val="24"/>
          <w:szCs w:val="24"/>
        </w:rPr>
        <w:t>РФ, Федеральный  Закон  Российской  Федерации  от  29.12.2012 г.  № 273-ФЗ  «Об  образовании  в  РФ»</w:t>
      </w:r>
      <w:r w:rsidR="00BF61D5">
        <w:rPr>
          <w:rFonts w:ascii="Times New Roman" w:hAnsi="Times New Roman" w:cs="Times New Roman"/>
          <w:sz w:val="24"/>
          <w:szCs w:val="24"/>
        </w:rPr>
        <w:t xml:space="preserve">,  Постановление  Администрации  МО  ГО  «Город  Хасавюрт» № 76 </w:t>
      </w:r>
      <w:proofErr w:type="spellStart"/>
      <w:proofErr w:type="gramStart"/>
      <w:r w:rsidR="00BF61D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BF61D5">
        <w:rPr>
          <w:rFonts w:ascii="Times New Roman" w:hAnsi="Times New Roman" w:cs="Times New Roman"/>
          <w:sz w:val="24"/>
          <w:szCs w:val="24"/>
        </w:rPr>
        <w:t xml:space="preserve">  от  19.03.2019 г.</w:t>
      </w:r>
    </w:p>
    <w:p w:rsidR="00CE1EF7" w:rsidRDefault="00CE1EF7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 регулирует  порядок</w:t>
      </w:r>
      <w:r w:rsidR="00BF61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распределения  стимулирующей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части  фонда  оплаты  труда  работников</w:t>
      </w:r>
      <w:proofErr w:type="gramEnd"/>
      <w:r w:rsidR="00BF6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ЦТТ.</w:t>
      </w:r>
    </w:p>
    <w:p w:rsidR="00CE1EF7" w:rsidRDefault="00CE1EF7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 включает  перечень  оснований  эффективности  аудиторной  и  неаудиторной  деятельности  работника.  Каждому  основанию  присваивается  определенное  количество  баллов.</w:t>
      </w:r>
    </w:p>
    <w:p w:rsidR="00CE1EF7" w:rsidRDefault="00CE1EF7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основании  настоящего  Положения  разрабатывается  соответствующий  локальный  акт,  определяющий  перечень  критериев  и  показателей.  Данный  локальный  акт  принимается  общим  собранием  трудового  коллектива  и  согласовывается  с  профсоюзным  комитетом</w:t>
      </w:r>
      <w:r w:rsidR="0020461C">
        <w:rPr>
          <w:rFonts w:ascii="Times New Roman" w:hAnsi="Times New Roman" w:cs="Times New Roman"/>
          <w:sz w:val="24"/>
          <w:szCs w:val="24"/>
        </w:rPr>
        <w:t xml:space="preserve">  и  утверждается  руководителем  ЦТТ.  </w:t>
      </w:r>
    </w:p>
    <w:p w:rsidR="0020461C" w:rsidRDefault="0020461C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 и  изменения  критериев  и  показателей  относится  к  компетенции ЦТТ</w:t>
      </w:r>
      <w:r w:rsidR="00BF61D5">
        <w:rPr>
          <w:rFonts w:ascii="Times New Roman" w:hAnsi="Times New Roman" w:cs="Times New Roman"/>
          <w:sz w:val="24"/>
          <w:szCs w:val="24"/>
        </w:rPr>
        <w:t>.</w:t>
      </w:r>
    </w:p>
    <w:p w:rsidR="0020461C" w:rsidRDefault="0020461C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 условий  стимулирования  не  связанных  с  результативностью  труда  не  допускается.</w:t>
      </w:r>
    </w:p>
    <w:p w:rsidR="0020461C" w:rsidRDefault="0020461C" w:rsidP="00984DA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Накопление  первичных  данных  ведется  в  процессе  мониторинга  профессиональной  деятельности  каждого  педагогического  работника.</w:t>
      </w:r>
    </w:p>
    <w:p w:rsidR="0020461C" w:rsidRDefault="0020461C" w:rsidP="0020461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0461C" w:rsidRDefault="0020461C" w:rsidP="0020461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A8D">
        <w:rPr>
          <w:rFonts w:ascii="Times New Roman" w:hAnsi="Times New Roman" w:cs="Times New Roman"/>
          <w:b/>
          <w:sz w:val="24"/>
          <w:szCs w:val="24"/>
        </w:rPr>
        <w:t>Порядок  стимулирования</w:t>
      </w:r>
    </w:p>
    <w:p w:rsidR="009B3FDC" w:rsidRPr="000C0A8D" w:rsidRDefault="009B3FDC" w:rsidP="009B3FDC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461C" w:rsidRDefault="0020461C" w:rsidP="00BF61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 стимулирующей  части  фонда  оплаты  труда  работников</w:t>
      </w:r>
      <w:r w:rsidR="009D0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осуществляется  органами  государственно-общественного  управления  по  представлению  руководителя  учреждения.  Создается  специальная  </w:t>
      </w:r>
      <w:r w:rsidR="009D058B">
        <w:rPr>
          <w:rFonts w:ascii="Times New Roman" w:hAnsi="Times New Roman" w:cs="Times New Roman"/>
          <w:sz w:val="24"/>
          <w:szCs w:val="24"/>
        </w:rPr>
        <w:t>комиссия,</w:t>
      </w:r>
      <w:r>
        <w:rPr>
          <w:rFonts w:ascii="Times New Roman" w:hAnsi="Times New Roman" w:cs="Times New Roman"/>
          <w:sz w:val="24"/>
          <w:szCs w:val="24"/>
        </w:rPr>
        <w:t xml:space="preserve">  в  которую  входит  директор  ЦТТ,  представитель  органов  государственно-общественного  управления  методического  совета,  профсоюзной  организации  и  другие.</w:t>
      </w:r>
    </w:p>
    <w:p w:rsidR="0020461C" w:rsidRDefault="0020461C" w:rsidP="00BF61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Работники  учреждения  самостоятельно  один  раз  в  отчетный  период  заполняют  портфолио  результатов  своей  деятельности  и  передают  заместителю  руководителя  для  проверки  и  уточнения.</w:t>
      </w:r>
    </w:p>
    <w:p w:rsidR="0020461C" w:rsidRDefault="009D058B" w:rsidP="00BF61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Аналитическая  информация,  критерии  и  показатели  </w:t>
      </w:r>
      <w:r w:rsidR="00211A1B">
        <w:rPr>
          <w:rFonts w:ascii="Times New Roman" w:hAnsi="Times New Roman" w:cs="Times New Roman"/>
          <w:sz w:val="24"/>
          <w:szCs w:val="24"/>
        </w:rPr>
        <w:t>стимулирования,</w:t>
      </w:r>
      <w:r>
        <w:rPr>
          <w:rFonts w:ascii="Times New Roman" w:hAnsi="Times New Roman" w:cs="Times New Roman"/>
          <w:sz w:val="24"/>
          <w:szCs w:val="24"/>
        </w:rPr>
        <w:t xml:space="preserve">  предусмотренные  локальным  актом  учреждения,  представляются  на </w:t>
      </w:r>
      <w:r w:rsidR="00FD5637">
        <w:rPr>
          <w:rFonts w:ascii="Times New Roman" w:hAnsi="Times New Roman" w:cs="Times New Roman"/>
          <w:sz w:val="24"/>
          <w:szCs w:val="24"/>
        </w:rPr>
        <w:t xml:space="preserve"> рассмотрение  комиссии  по  определению  стимулирующей  оплаты 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8B" w:rsidRDefault="009D058B" w:rsidP="00BF61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 педагогических  работников,  осуществляется  по  балловой  системе  с  учетом  утвержденных  в  локальном  акте  критериев  и  показателей.</w:t>
      </w:r>
    </w:p>
    <w:p w:rsidR="009D058B" w:rsidRDefault="009D058B" w:rsidP="00BF61D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 стимулирующей  надбавки  конкретного  работника  определяется  умножением  стоимости  одного  балла  на  их  суммарное  количество.</w:t>
      </w:r>
    </w:p>
    <w:p w:rsidR="009D058B" w:rsidRDefault="009D058B" w:rsidP="009D05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58B" w:rsidRPr="000C0A8D" w:rsidRDefault="009D058B" w:rsidP="009D058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A8D">
        <w:rPr>
          <w:rFonts w:ascii="Times New Roman" w:hAnsi="Times New Roman" w:cs="Times New Roman"/>
          <w:b/>
          <w:sz w:val="24"/>
          <w:szCs w:val="24"/>
        </w:rPr>
        <w:t xml:space="preserve"> Порядок  определения  размера  стимулирующих выплат</w:t>
      </w:r>
    </w:p>
    <w:p w:rsidR="00BF61D5" w:rsidRDefault="00BF61D5" w:rsidP="00BF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1D5" w:rsidRPr="00BF61D5" w:rsidRDefault="00BF61D5" w:rsidP="00BF6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3.1. Р</w:t>
      </w:r>
      <w:r w:rsidRPr="00BF61D5">
        <w:rPr>
          <w:rFonts w:ascii="Times New Roman" w:hAnsi="Times New Roman" w:cs="Times New Roman"/>
          <w:sz w:val="24"/>
          <w:szCs w:val="24"/>
        </w:rPr>
        <w:t>асчет  стимулирующих  выплат  производиться  по  итогам  работы  за  один  месяц;</w:t>
      </w:r>
    </w:p>
    <w:p w:rsidR="00BF61D5" w:rsidRPr="00BF61D5" w:rsidRDefault="00BF61D5" w:rsidP="00BF61D5">
      <w:pPr>
        <w:pStyle w:val="a3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</w:t>
      </w:r>
      <w:r w:rsidRPr="00BF61D5">
        <w:rPr>
          <w:rFonts w:ascii="Times New Roman" w:hAnsi="Times New Roman" w:cs="Times New Roman"/>
          <w:sz w:val="24"/>
          <w:szCs w:val="24"/>
        </w:rPr>
        <w:t xml:space="preserve">азмер  стимулирующей  </w:t>
      </w:r>
      <w:proofErr w:type="gramStart"/>
      <w:r w:rsidRPr="00BF61D5">
        <w:rPr>
          <w:rFonts w:ascii="Times New Roman" w:hAnsi="Times New Roman" w:cs="Times New Roman"/>
          <w:sz w:val="24"/>
          <w:szCs w:val="24"/>
        </w:rPr>
        <w:t>части  фонда  оплаты  труда  педагогических  работников  запланированных</w:t>
      </w:r>
      <w:proofErr w:type="gramEnd"/>
      <w:r w:rsidRPr="00BF61D5">
        <w:rPr>
          <w:rFonts w:ascii="Times New Roman" w:hAnsi="Times New Roman" w:cs="Times New Roman"/>
          <w:sz w:val="24"/>
          <w:szCs w:val="24"/>
        </w:rPr>
        <w:t xml:space="preserve">  за  один  месяц  текущего  года  делится  на  общую  сумму  баллов  всех  педагогических  работников,  что  позволяет  определить  денежный  вес (в рублях)  каждого  балла;</w:t>
      </w:r>
    </w:p>
    <w:p w:rsidR="00493313" w:rsidRDefault="00493313" w:rsidP="00493313">
      <w:pPr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F61D5" w:rsidRPr="00493313">
        <w:rPr>
          <w:rFonts w:ascii="Times New Roman" w:hAnsi="Times New Roman" w:cs="Times New Roman"/>
          <w:sz w:val="24"/>
          <w:szCs w:val="24"/>
        </w:rPr>
        <w:t xml:space="preserve">3.3.  Для  получения  размера  стимулирующих  выплат  каждому  педагогическому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F61D5" w:rsidRPr="00493313">
        <w:rPr>
          <w:rFonts w:ascii="Times New Roman" w:hAnsi="Times New Roman" w:cs="Times New Roman"/>
          <w:sz w:val="24"/>
          <w:szCs w:val="24"/>
        </w:rPr>
        <w:t>работнику  за  один  месяц  показатель (денежный  вес  одного  балла)  умножается  на  сумму  баллов  каждого  работника</w:t>
      </w:r>
      <w:r w:rsidRPr="00493313">
        <w:rPr>
          <w:rFonts w:ascii="Times New Roman" w:hAnsi="Times New Roman" w:cs="Times New Roman"/>
          <w:sz w:val="24"/>
          <w:szCs w:val="24"/>
        </w:rPr>
        <w:t>. Отпуск  оплачивается  исходя  из  средней  заработной  платы  педагогического  работ</w:t>
      </w:r>
      <w:r>
        <w:rPr>
          <w:rFonts w:ascii="Times New Roman" w:hAnsi="Times New Roman" w:cs="Times New Roman"/>
          <w:sz w:val="24"/>
          <w:szCs w:val="24"/>
        </w:rPr>
        <w:t>ник</w:t>
      </w:r>
      <w:r w:rsidRPr="00493313">
        <w:rPr>
          <w:rFonts w:ascii="Times New Roman" w:hAnsi="Times New Roman" w:cs="Times New Roman"/>
          <w:sz w:val="24"/>
          <w:szCs w:val="24"/>
        </w:rPr>
        <w:t>а,  в  которой  учтены  стимулирующие  выплаты.  Период  после  отпуска  до  начала  учебного  года  оплачивается  исходя  из  средней  заработной  платы,  в  котором  учтены  стимулирующие  выплаты.</w:t>
      </w:r>
    </w:p>
    <w:p w:rsidR="00493313" w:rsidRP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К выплатам стимулирующего характера за качество выполняемой работы относятся: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31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 Стимулирующие выплаты педагогическим работникам за наличие почетного звания: </w:t>
      </w:r>
    </w:p>
    <w:p w:rsid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-лицам, награжденным знаком «Почетный работник общего образования </w:t>
      </w:r>
      <w:proofErr w:type="gramStart"/>
      <w:r w:rsidRPr="00493313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493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Федерации», «Почетный работник сферы образования Российской Федерации», - 10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процентов оклада (должностного оклада);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313">
        <w:rPr>
          <w:rFonts w:ascii="Times New Roman" w:hAnsi="Times New Roman" w:cs="Times New Roman"/>
          <w:sz w:val="24"/>
          <w:szCs w:val="24"/>
        </w:rPr>
        <w:t xml:space="preserve">                 Устанавливаются следующие виды выплат стимулирующего характера: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3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3313">
        <w:rPr>
          <w:rFonts w:ascii="Times New Roman" w:hAnsi="Times New Roman" w:cs="Times New Roman"/>
          <w:sz w:val="24"/>
          <w:szCs w:val="24"/>
        </w:rPr>
        <w:t>- за интенсивность и высокие результаты работы;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3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3313">
        <w:rPr>
          <w:rFonts w:ascii="Times New Roman" w:hAnsi="Times New Roman" w:cs="Times New Roman"/>
          <w:sz w:val="24"/>
          <w:szCs w:val="24"/>
        </w:rPr>
        <w:t>- за качество выполняемых работ;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 - за стаж непрерывной работы;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3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 - премиальные выплаты по итогам работы.</w:t>
      </w:r>
    </w:p>
    <w:p w:rsid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Размер исчисления стимулирующих выплат за стаж педагогической работы определен </w:t>
      </w:r>
      <w:proofErr w:type="gramStart"/>
      <w:r w:rsidRPr="004933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93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следующих размерах от должностных окладов (ставок заработной платы) с учетом учебной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93313" w:rsidRP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нагрузки: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от 3 до 5 лет - 2 процента;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от 5 до 10 лет - 3 процента;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от 10 до 15 лет - 4 процента; </w:t>
      </w:r>
    </w:p>
    <w:p w:rsidR="00493313" w:rsidRPr="00493313" w:rsidRDefault="00493313" w:rsidP="00493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свыше 15 лет - 5 процентов. </w:t>
      </w:r>
    </w:p>
    <w:p w:rsid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При наличии у  педагогического работника учебной нагрузки от одной ставки и выше оплата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за стаж педагогической работы исчисляется от одной ставки. В случае, когда педагогический </w:t>
      </w:r>
    </w:p>
    <w:p w:rsid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3313">
        <w:rPr>
          <w:rFonts w:ascii="Times New Roman" w:hAnsi="Times New Roman" w:cs="Times New Roman"/>
          <w:sz w:val="24"/>
          <w:szCs w:val="24"/>
        </w:rPr>
        <w:t xml:space="preserve">работник имеет учебную нагрузку менее одной ставки, оплата производится </w:t>
      </w:r>
    </w:p>
    <w:p w:rsidR="00493313" w:rsidRPr="00493313" w:rsidRDefault="00493313" w:rsidP="004933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93313">
        <w:rPr>
          <w:rFonts w:ascii="Times New Roman" w:hAnsi="Times New Roman" w:cs="Times New Roman"/>
          <w:sz w:val="24"/>
          <w:szCs w:val="24"/>
        </w:rPr>
        <w:t>пропорционально отработанному времени.</w:t>
      </w:r>
    </w:p>
    <w:p w:rsidR="0038016F" w:rsidRDefault="000C0A8D" w:rsidP="00B815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0A8D" w:rsidRPr="00A87821" w:rsidRDefault="000C0A8D" w:rsidP="000C0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821">
        <w:rPr>
          <w:rFonts w:ascii="Times New Roman" w:hAnsi="Times New Roman" w:cs="Times New Roman"/>
          <w:b/>
          <w:sz w:val="24"/>
          <w:szCs w:val="24"/>
        </w:rPr>
        <w:t xml:space="preserve">Критерии  оценки  деятельности  педагогических  работников  </w:t>
      </w:r>
    </w:p>
    <w:p w:rsidR="000C0A8D" w:rsidRDefault="000C0A8D" w:rsidP="000C0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821">
        <w:rPr>
          <w:rFonts w:ascii="Times New Roman" w:hAnsi="Times New Roman" w:cs="Times New Roman"/>
          <w:b/>
          <w:sz w:val="24"/>
          <w:szCs w:val="24"/>
        </w:rPr>
        <w:t>для  установления  стимулирующих  выплат</w:t>
      </w:r>
    </w:p>
    <w:p w:rsidR="00D22DF8" w:rsidRDefault="00D22DF8" w:rsidP="000C0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826"/>
        <w:gridCol w:w="1662"/>
        <w:gridCol w:w="1472"/>
        <w:gridCol w:w="1555"/>
        <w:gridCol w:w="1297"/>
      </w:tblGrid>
      <w:tr w:rsidR="009301A9" w:rsidRPr="009301A9" w:rsidTr="00DC55CC">
        <w:tc>
          <w:tcPr>
            <w:tcW w:w="560" w:type="dxa"/>
          </w:tcPr>
          <w:p w:rsidR="009301A9" w:rsidRPr="009301A9" w:rsidRDefault="009301A9" w:rsidP="00DC55CC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9301A9" w:rsidRPr="009301A9" w:rsidRDefault="009301A9" w:rsidP="00DC55CC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материального  стимулирования</w:t>
            </w:r>
          </w:p>
        </w:tc>
        <w:tc>
          <w:tcPr>
            <w:tcW w:w="1662" w:type="dxa"/>
          </w:tcPr>
          <w:p w:rsidR="009301A9" w:rsidRPr="009301A9" w:rsidRDefault="009301A9" w:rsidP="00DC55CC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Измерители </w:t>
            </w:r>
          </w:p>
        </w:tc>
        <w:tc>
          <w:tcPr>
            <w:tcW w:w="1472" w:type="dxa"/>
          </w:tcPr>
          <w:p w:rsidR="009301A9" w:rsidRPr="009301A9" w:rsidRDefault="009301A9" w:rsidP="00DC55CC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1555" w:type="dxa"/>
          </w:tcPr>
          <w:p w:rsidR="009301A9" w:rsidRPr="009301A9" w:rsidRDefault="009301A9" w:rsidP="00DC55CC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педагога</w:t>
            </w:r>
          </w:p>
        </w:tc>
        <w:tc>
          <w:tcPr>
            <w:tcW w:w="1297" w:type="dxa"/>
          </w:tcPr>
          <w:p w:rsidR="009301A9" w:rsidRPr="009301A9" w:rsidRDefault="009301A9" w:rsidP="00DC55CC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Оценка  комиссии</w:t>
            </w: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Наличие  системы  работы  с  документами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Наличие  призеров: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  уровне  муниципального образования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  республиканском  уровне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  федеральном  уровне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2470DA" w:rsidRDefault="002470DA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  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70DA" w:rsidRDefault="002470DA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Наличие  авторской  образовательной  программы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Наличие  диагностической  работы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Оценка  профсоюзной  деятельности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Применение  информационных  технологий  в  образовательном  процессе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 оформление  предметной  среды  учебных  помещений с  учетом  санитарных норм  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Наличие  работы  с  родителями 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Методическое  обеспечение образовательного  процесса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Сотрудничество  с  УДО, ОУ, учреждениями  культуры, спорта,  здравоохранения  и  другими  учреждениями</w:t>
            </w:r>
          </w:p>
        </w:tc>
        <w:tc>
          <w:tcPr>
            <w:tcW w:w="166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7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Оценка  за  проведенное  мероприятие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A9" w:rsidRPr="009301A9" w:rsidRDefault="009301A9" w:rsidP="009301A9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A9" w:rsidRPr="009301A9" w:rsidRDefault="009301A9" w:rsidP="00930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1A9">
        <w:rPr>
          <w:rFonts w:ascii="Times New Roman" w:hAnsi="Times New Roman" w:cs="Times New Roman"/>
          <w:b/>
          <w:sz w:val="24"/>
          <w:szCs w:val="24"/>
        </w:rPr>
        <w:t>Показатели,  понижающие  стимулирующую  часть  оплаты  труда</w:t>
      </w:r>
    </w:p>
    <w:p w:rsidR="009301A9" w:rsidRPr="009301A9" w:rsidRDefault="009301A9" w:rsidP="00930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196"/>
        <w:gridCol w:w="1685"/>
        <w:gridCol w:w="1572"/>
        <w:gridCol w:w="1555"/>
        <w:gridCol w:w="1279"/>
      </w:tblGrid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1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gramEnd"/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понижающие уровень  стимулирования</w:t>
            </w:r>
          </w:p>
        </w:tc>
        <w:tc>
          <w:tcPr>
            <w:tcW w:w="1719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Измерители </w:t>
            </w:r>
          </w:p>
        </w:tc>
        <w:tc>
          <w:tcPr>
            <w:tcW w:w="171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43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 педагога</w:t>
            </w:r>
          </w:p>
        </w:tc>
        <w:tc>
          <w:tcPr>
            <w:tcW w:w="128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комиссии </w:t>
            </w: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61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Травматизм  учащихся  во  время  образовательного  процесса  в  помещении  ОУ</w:t>
            </w:r>
          </w:p>
        </w:tc>
        <w:tc>
          <w:tcPr>
            <w:tcW w:w="1719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71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43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1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Обоснованные  жалобы  о  нарушении  прав  учащихся,  нашедшие  отражение  в  административных  актах</w:t>
            </w:r>
          </w:p>
        </w:tc>
        <w:tc>
          <w:tcPr>
            <w:tcW w:w="1719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71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43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Нарушение  норм  техники  безопасности</w:t>
            </w:r>
          </w:p>
        </w:tc>
        <w:tc>
          <w:tcPr>
            <w:tcW w:w="1719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71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435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A9" w:rsidRPr="009301A9" w:rsidTr="00DC55CC">
        <w:tc>
          <w:tcPr>
            <w:tcW w:w="560" w:type="dxa"/>
          </w:tcPr>
          <w:p w:rsidR="009301A9" w:rsidRPr="009301A9" w:rsidRDefault="009301A9" w:rsidP="009301A9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:rsidR="009301A9" w:rsidRPr="009301A9" w:rsidRDefault="009301A9" w:rsidP="00DC55CC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1A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19" w:type="dxa"/>
          </w:tcPr>
          <w:p w:rsidR="009301A9" w:rsidRPr="009301A9" w:rsidRDefault="009301A9" w:rsidP="00DC55CC">
            <w:pPr>
              <w:tabs>
                <w:tab w:val="left" w:pos="2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301A9" w:rsidRPr="009301A9" w:rsidRDefault="009301A9" w:rsidP="00DC55CC">
            <w:pPr>
              <w:tabs>
                <w:tab w:val="left" w:pos="2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9301A9" w:rsidRPr="009301A9" w:rsidRDefault="009301A9" w:rsidP="00DC55CC">
            <w:pPr>
              <w:tabs>
                <w:tab w:val="left" w:pos="2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9301A9" w:rsidRPr="009301A9" w:rsidRDefault="009301A9" w:rsidP="00DC55CC">
            <w:pPr>
              <w:tabs>
                <w:tab w:val="left" w:pos="2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A9" w:rsidRPr="009301A9" w:rsidRDefault="009301A9" w:rsidP="00B815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01A9" w:rsidRPr="009301A9" w:rsidSect="00CE1EF7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07EE"/>
    <w:multiLevelType w:val="hybridMultilevel"/>
    <w:tmpl w:val="1BF63264"/>
    <w:lvl w:ilvl="0" w:tplc="62C0DEF0">
      <w:start w:val="1"/>
      <w:numFmt w:val="decimal"/>
      <w:lvlText w:val="%1."/>
      <w:lvlJc w:val="left"/>
      <w:pPr>
        <w:ind w:left="8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">
    <w:nsid w:val="06D14297"/>
    <w:multiLevelType w:val="multilevel"/>
    <w:tmpl w:val="429E3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1D24890"/>
    <w:multiLevelType w:val="hybridMultilevel"/>
    <w:tmpl w:val="13D6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670E"/>
    <w:multiLevelType w:val="hybridMultilevel"/>
    <w:tmpl w:val="461055E8"/>
    <w:lvl w:ilvl="0" w:tplc="002E22B8">
      <w:start w:val="1"/>
      <w:numFmt w:val="decimal"/>
      <w:lvlText w:val="%1)"/>
      <w:lvlJc w:val="left"/>
      <w:pPr>
        <w:ind w:left="9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4">
    <w:nsid w:val="5620438D"/>
    <w:multiLevelType w:val="multilevel"/>
    <w:tmpl w:val="4D2E6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D875F9D"/>
    <w:multiLevelType w:val="hybridMultilevel"/>
    <w:tmpl w:val="2F02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60D88"/>
    <w:multiLevelType w:val="hybridMultilevel"/>
    <w:tmpl w:val="1BF63264"/>
    <w:lvl w:ilvl="0" w:tplc="62C0DEF0">
      <w:start w:val="1"/>
      <w:numFmt w:val="decimal"/>
      <w:lvlText w:val="%1."/>
      <w:lvlJc w:val="left"/>
      <w:pPr>
        <w:ind w:left="8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EF7"/>
    <w:rsid w:val="000C0A8D"/>
    <w:rsid w:val="0020461C"/>
    <w:rsid w:val="00211A1B"/>
    <w:rsid w:val="002470DA"/>
    <w:rsid w:val="002809ED"/>
    <w:rsid w:val="00287FE3"/>
    <w:rsid w:val="0031512F"/>
    <w:rsid w:val="003633EA"/>
    <w:rsid w:val="0038016F"/>
    <w:rsid w:val="003E6AA7"/>
    <w:rsid w:val="00433BD4"/>
    <w:rsid w:val="00450BF9"/>
    <w:rsid w:val="00484C1B"/>
    <w:rsid w:val="00493313"/>
    <w:rsid w:val="0050400D"/>
    <w:rsid w:val="005217DA"/>
    <w:rsid w:val="00596ABB"/>
    <w:rsid w:val="006B2D5A"/>
    <w:rsid w:val="009301A9"/>
    <w:rsid w:val="00984DA8"/>
    <w:rsid w:val="009B3FDC"/>
    <w:rsid w:val="009D058B"/>
    <w:rsid w:val="009E0B6A"/>
    <w:rsid w:val="00A67DD1"/>
    <w:rsid w:val="00A87821"/>
    <w:rsid w:val="00AF6211"/>
    <w:rsid w:val="00B815E1"/>
    <w:rsid w:val="00BF61D5"/>
    <w:rsid w:val="00C179BB"/>
    <w:rsid w:val="00CE1EF7"/>
    <w:rsid w:val="00D22DF8"/>
    <w:rsid w:val="00DC7302"/>
    <w:rsid w:val="00E05FF4"/>
    <w:rsid w:val="00FD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E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84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2017-01-11T06:26:00Z</cp:lastPrinted>
  <dcterms:created xsi:type="dcterms:W3CDTF">2016-09-06T12:25:00Z</dcterms:created>
  <dcterms:modified xsi:type="dcterms:W3CDTF">2019-03-22T12:11:00Z</dcterms:modified>
</cp:coreProperties>
</file>